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C" w:rsidRDefault="00DE0933">
      <w:r>
        <w:rPr>
          <w:noProof/>
          <w:lang w:eastAsia="ru-RU"/>
        </w:rPr>
        <w:drawing>
          <wp:inline distT="0" distB="0" distL="0" distR="0" wp14:anchorId="3340C0B8" wp14:editId="446987C3">
            <wp:extent cx="6019800" cy="66770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2247C" w:rsidRDefault="00A2247C"/>
    <w:p w:rsidR="00A2247C" w:rsidRDefault="00A2247C"/>
    <w:p w:rsidR="00A2247C" w:rsidRDefault="00A2247C"/>
    <w:p w:rsidR="00A2247C" w:rsidRDefault="00A2247C"/>
    <w:p w:rsidR="00A2247C" w:rsidRDefault="00A2247C"/>
    <w:p w:rsidR="00A2247C" w:rsidRDefault="00A2247C"/>
    <w:p w:rsidR="00A2247C" w:rsidRDefault="00A2247C"/>
    <w:sectPr w:rsidR="00A2247C" w:rsidSect="00703E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89" w:rsidRDefault="001D5389" w:rsidP="00D90368">
      <w:pPr>
        <w:spacing w:after="0" w:line="240" w:lineRule="auto"/>
      </w:pPr>
      <w:r>
        <w:separator/>
      </w:r>
    </w:p>
  </w:endnote>
  <w:endnote w:type="continuationSeparator" w:id="0">
    <w:p w:rsidR="001D5389" w:rsidRDefault="001D5389" w:rsidP="00D9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89" w:rsidRDefault="001D5389" w:rsidP="00D90368">
      <w:pPr>
        <w:spacing w:after="0" w:line="240" w:lineRule="auto"/>
      </w:pPr>
      <w:r>
        <w:separator/>
      </w:r>
    </w:p>
  </w:footnote>
  <w:footnote w:type="continuationSeparator" w:id="0">
    <w:p w:rsidR="001D5389" w:rsidRDefault="001D5389" w:rsidP="00D9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68"/>
    <w:rsid w:val="00124F43"/>
    <w:rsid w:val="001A766C"/>
    <w:rsid w:val="001D5389"/>
    <w:rsid w:val="003D2CBA"/>
    <w:rsid w:val="00541AD1"/>
    <w:rsid w:val="006707C8"/>
    <w:rsid w:val="006865AB"/>
    <w:rsid w:val="006B7D2F"/>
    <w:rsid w:val="006D7739"/>
    <w:rsid w:val="00703E75"/>
    <w:rsid w:val="00754AF8"/>
    <w:rsid w:val="007A242B"/>
    <w:rsid w:val="0083689D"/>
    <w:rsid w:val="00A2247C"/>
    <w:rsid w:val="00A269FF"/>
    <w:rsid w:val="00A76710"/>
    <w:rsid w:val="00B34E5F"/>
    <w:rsid w:val="00B841F0"/>
    <w:rsid w:val="00BB69BD"/>
    <w:rsid w:val="00C23918"/>
    <w:rsid w:val="00CB2B94"/>
    <w:rsid w:val="00CC14AA"/>
    <w:rsid w:val="00D12A96"/>
    <w:rsid w:val="00D90368"/>
    <w:rsid w:val="00DE0933"/>
    <w:rsid w:val="00E87A68"/>
    <w:rsid w:val="00F25774"/>
    <w:rsid w:val="00F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68"/>
  </w:style>
  <w:style w:type="paragraph" w:styleId="a7">
    <w:name w:val="footer"/>
    <w:basedOn w:val="a"/>
    <w:link w:val="a8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68"/>
  </w:style>
  <w:style w:type="paragraph" w:styleId="a7">
    <w:name w:val="footer"/>
    <w:basedOn w:val="a"/>
    <w:link w:val="a8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Факторы, отрицательно влияющие на деятельность организаций,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в сфере финансового лизинга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0" i="0" u="none" strike="noStrike" baseline="0">
                <a:solidFill>
                  <a:srgbClr val="000000"/>
                </a:solidFill>
                <a:latin typeface="Calibri"/>
              </a:rPr>
              <a:t>число ответивших организаций в % к их общему количеству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'новые данные'!$B$19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'новые данные'!$A$20:$A$29</c:f>
              <c:strCache>
                <c:ptCount val="10"/>
                <c:pt idx="0">
                  <c:v>Информационная непрозрачность деятельности потребителей</c:v>
                </c:pt>
                <c:pt idx="1">
                  <c:v>Недостаток квалифицированных специалистов</c:v>
                </c:pt>
                <c:pt idx="2">
                  <c:v>Отсутствие страхования рисков лизинговой деятельности</c:v>
                </c:pt>
                <c:pt idx="3">
                  <c:v>Недостаточный спрос на предметы лизинга </c:v>
                </c:pt>
                <c:pt idx="4">
                  <c:v>Несовершенство нормативно-правового регулирования лизинговой деятельности</c:v>
                </c:pt>
                <c:pt idx="5">
                  <c:v>Существующий уровень налогообложения</c:v>
                </c:pt>
                <c:pt idx="6">
                  <c:v>Сложности с получением кредита</c:v>
                </c:pt>
                <c:pt idx="7">
                  <c:v>Недостаток финансовых средств</c:v>
                </c:pt>
                <c:pt idx="8">
                  <c:v>Конкуренция со стороны других организаций, осуществляющих лизинговую деятельность</c:v>
                </c:pt>
                <c:pt idx="9">
                  <c:v>Высокий процент коммерческого кредита </c:v>
                </c:pt>
              </c:strCache>
            </c:strRef>
          </c:cat>
          <c:val>
            <c:numRef>
              <c:f>'новые данные'!$B$20:$B$29</c:f>
              <c:numCache>
                <c:formatCode>General</c:formatCode>
                <c:ptCount val="10"/>
                <c:pt idx="0">
                  <c:v>5.8</c:v>
                </c:pt>
                <c:pt idx="1">
                  <c:v>6.3</c:v>
                </c:pt>
                <c:pt idx="2">
                  <c:v>6.8</c:v>
                </c:pt>
                <c:pt idx="3">
                  <c:v>16.5</c:v>
                </c:pt>
                <c:pt idx="4">
                  <c:v>21.1</c:v>
                </c:pt>
                <c:pt idx="5">
                  <c:v>21.1</c:v>
                </c:pt>
                <c:pt idx="6">
                  <c:v>21.6</c:v>
                </c:pt>
                <c:pt idx="7">
                  <c:v>26.1</c:v>
                </c:pt>
                <c:pt idx="8">
                  <c:v>48.6</c:v>
                </c:pt>
                <c:pt idx="9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'новые данные'!$C$19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'новые данные'!$A$20:$A$29</c:f>
              <c:strCache>
                <c:ptCount val="10"/>
                <c:pt idx="0">
                  <c:v>Информационная непрозрачность деятельности потребителей</c:v>
                </c:pt>
                <c:pt idx="1">
                  <c:v>Недостаток квалифицированных специалистов</c:v>
                </c:pt>
                <c:pt idx="2">
                  <c:v>Отсутствие страхования рисков лизинговой деятельности</c:v>
                </c:pt>
                <c:pt idx="3">
                  <c:v>Недостаточный спрос на предметы лизинга </c:v>
                </c:pt>
                <c:pt idx="4">
                  <c:v>Несовершенство нормативно-правового регулирования лизинговой деятельности</c:v>
                </c:pt>
                <c:pt idx="5">
                  <c:v>Существующий уровень налогообложения</c:v>
                </c:pt>
                <c:pt idx="6">
                  <c:v>Сложности с получением кредита</c:v>
                </c:pt>
                <c:pt idx="7">
                  <c:v>Недостаток финансовых средств</c:v>
                </c:pt>
                <c:pt idx="8">
                  <c:v>Конкуренция со стороны других организаций, осуществляющих лизинговую деятельность</c:v>
                </c:pt>
                <c:pt idx="9">
                  <c:v>Высокий процент коммерческого кредита </c:v>
                </c:pt>
              </c:strCache>
            </c:strRef>
          </c:cat>
          <c:val>
            <c:numRef>
              <c:f>'новые данные'!$C$20:$C$29</c:f>
              <c:numCache>
                <c:formatCode>0.0</c:formatCode>
                <c:ptCount val="10"/>
                <c:pt idx="0">
                  <c:v>4.8</c:v>
                </c:pt>
                <c:pt idx="1">
                  <c:v>6</c:v>
                </c:pt>
                <c:pt idx="2">
                  <c:v>6</c:v>
                </c:pt>
                <c:pt idx="3">
                  <c:v>27</c:v>
                </c:pt>
                <c:pt idx="4">
                  <c:v>24</c:v>
                </c:pt>
                <c:pt idx="5" formatCode="General">
                  <c:v>16.8</c:v>
                </c:pt>
                <c:pt idx="6">
                  <c:v>21.9</c:v>
                </c:pt>
                <c:pt idx="7">
                  <c:v>24.3</c:v>
                </c:pt>
                <c:pt idx="8" formatCode="General">
                  <c:v>54.7</c:v>
                </c:pt>
                <c:pt idx="9" formatCode="General">
                  <c:v>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876800"/>
        <c:axId val="253475008"/>
      </c:barChart>
      <c:catAx>
        <c:axId val="18087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475008"/>
        <c:crosses val="autoZero"/>
        <c:auto val="1"/>
        <c:lblAlgn val="ctr"/>
        <c:lblOffset val="100"/>
        <c:noMultiLvlLbl val="0"/>
      </c:catAx>
      <c:valAx>
        <c:axId val="253475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876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Хайретдинов Максим Викторович</dc:creator>
  <cp:lastModifiedBy>Левченко Светлана Александровна</cp:lastModifiedBy>
  <cp:revision>5</cp:revision>
  <cp:lastPrinted>2023-03-30T08:19:00Z</cp:lastPrinted>
  <dcterms:created xsi:type="dcterms:W3CDTF">2021-12-01T05:40:00Z</dcterms:created>
  <dcterms:modified xsi:type="dcterms:W3CDTF">2023-03-30T10:33:00Z</dcterms:modified>
</cp:coreProperties>
</file>